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t>Regulamin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FF"/>
          <w:sz w:val="40"/>
          <w:szCs w:val="24"/>
          <w:lang w:eastAsia="pl-PL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t xml:space="preserve">IX Ogólnopolskiego Festiwalu Tańca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FF"/>
          <w:sz w:val="40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color w:val="0000FF"/>
          <w:sz w:val="40"/>
          <w:szCs w:val="24"/>
          <w:lang w:eastAsia="pl-PL"/>
        </w:rPr>
        <w:t>„</w:t>
      </w:r>
      <w:r>
        <w:rPr>
          <w:rFonts w:ascii="Times New Roman" w:hAnsi="Times New Roman"/>
          <w:b/>
          <w:bCs/>
          <w:i/>
          <w:iCs/>
          <w:color w:val="0000FF"/>
          <w:sz w:val="40"/>
          <w:szCs w:val="24"/>
          <w:lang w:eastAsia="pl-PL"/>
        </w:rPr>
        <w:t>Taneczne Inspiracje”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color w:val="262626"/>
          <w:sz w:val="32"/>
          <w:szCs w:val="32"/>
          <w:lang w:eastAsia="pl-PL"/>
        </w:rPr>
      </w:pPr>
      <w:r>
        <w:rPr>
          <w:rFonts w:ascii="Times New Roman" w:hAnsi="Times New Roman"/>
          <w:bCs/>
          <w:i/>
          <w:iCs/>
          <w:color w:val="262626"/>
          <w:sz w:val="32"/>
          <w:szCs w:val="32"/>
          <w:lang w:eastAsia="pl-PL"/>
        </w:rPr>
        <w:t>Pod Patronatem Starosty Biłgorajskiego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ORGANIZATOR: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b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lang w:eastAsia="pl-PL"/>
        </w:rPr>
        <w:t>Młodzieżowy Dom Kultury w Biłgoraju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ul. Wira Bartoszewskiego 10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23-400 Biłgoraj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WSPÓŁORGANIZATOR: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tbl>
      <w:tblPr>
        <w:tblW w:w="469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90"/>
      </w:tblGrid>
      <w:tr>
        <w:trPr/>
        <w:tc>
          <w:tcPr>
            <w:tcW w:w="469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Stowarzyszenie Kulturalno – Oświatowe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TRAMPOLINA SUKCESU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Nadstawna 56 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Biłgoraj, woj. lubelskie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 509 170 256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Starostwo Powiatowe w Biłgoraju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Tadeusza Kościuszki 94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Ośrodek Sportu i Rekreacji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Targowa 15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Biłgorajskie Centrum Kultury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Ul. Kościuszki 16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23-400 Biłgoraj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Osoby odpowiedzialne: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Edyta Buczek tel. 608 504 208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Iwona Pawlos  tel. 880 273 783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Marcin Holko, tel. 509 170 256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I MIEJSCE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F0000"/>
          <w:sz w:val="36"/>
          <w:szCs w:val="36"/>
          <w:lang w:eastAsia="pl-PL"/>
        </w:rPr>
        <w:t>30-31.03.2023r. godz.10.00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Ośrodek Sportu i Rekreacji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ul. Targowa 15 w Biłgoraju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30.03.2023      (czwartek) taniec nowoczesny</w:t>
      </w:r>
    </w:p>
    <w:p>
      <w:pPr>
        <w:pStyle w:val="Normal"/>
        <w:numPr>
          <w:ilvl w:val="2"/>
          <w:numId w:val="9"/>
        </w:numPr>
        <w:spacing w:lineRule="auto" w:line="240" w:before="0" w:after="0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>(piątek) taniec współczesny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CEL FESTIWALU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Popularyzacja tańca współczesnego i nowoczesnego.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Konfrontacja dorobku artystycznego amatorskiego ruchu tanecznego.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Integracja środowiska tanecznego.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Wymiana pomysłów i doświadczeń twórczych.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UCZESTNICY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240" w:before="0" w:after="0"/>
        <w:ind w:left="283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>W Konfrontacjach mogą wziąć udział  amatorskie zespoły taneczne pracujące w oparciu</w:t>
        <w:br/>
        <w:t>o elementy techniki tańca współczesnego, nowoczesnego oraz towarzyskiego.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240" w:before="0" w:after="0"/>
        <w:ind w:left="283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Występy taneczne będą prezentowane w blokach – taniec nowoczesny(towarzyski,show </w:t>
        <w:br/>
        <w:t xml:space="preserve">dance, hip hop, disco, street dance) i taniec współczesny (jazz, balet, contemporary, inne </w:t>
        <w:br/>
        <w:t xml:space="preserve">techniki współczesne).  Ze względu na duże zainteresowanie festiwalem taniec nowoczesny prezentuje się we wszystkich kategoriach wiekowych pierwszego dnia </w:t>
        <w:br/>
        <w:t>festiwalu, taniec współczesny drugiego dnia festiwalu.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240" w:before="0" w:after="0"/>
        <w:ind w:left="283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>Wprowadza się trzy kategorie wiekowe: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left="1020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kat. młodsza od 6 – 9 lat. 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left="1020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>kat. średnia od 10 – 14 lat.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pacing w:lineRule="auto" w:line="240" w:before="0" w:after="0"/>
        <w:ind w:left="1020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kat. starsza od 15 lat. </w:t>
      </w:r>
    </w:p>
    <w:p>
      <w:pPr>
        <w:pStyle w:val="Normal"/>
        <w:numPr>
          <w:ilvl w:val="0"/>
          <w:numId w:val="12"/>
        </w:numPr>
        <w:tabs>
          <w:tab w:val="clear" w:pos="708"/>
        </w:tabs>
        <w:spacing w:lineRule="auto" w:line="240" w:before="0" w:after="0"/>
        <w:ind w:left="283" w:right="0" w:hanging="227"/>
        <w:rPr/>
      </w:pPr>
      <w:r>
        <w:rPr>
          <w:rFonts w:ascii="Times New Roman" w:hAnsi="Times New Roman"/>
          <w:sz w:val="24"/>
          <w:szCs w:val="24"/>
          <w:lang w:eastAsia="pl-PL"/>
        </w:rPr>
        <w:t>Zespoły prezentują jedną kompozycję choreograficzną o czasie do 10 minut.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8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WARUNKI UCZESTNICTWA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Warunkiem uczestnictwa jest przesłanie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drogą elektroniczną</w:t>
      </w:r>
      <w:r>
        <w:rPr>
          <w:rFonts w:ascii="Times New Roman" w:hAnsi="Times New Roman"/>
          <w:sz w:val="24"/>
          <w:szCs w:val="24"/>
          <w:lang w:eastAsia="pl-PL"/>
        </w:rPr>
        <w:t xml:space="preserve"> wypełnionej karty   </w:t>
        <w:br/>
        <w:t xml:space="preserve">    zgłoszenia na adres organizatora do dnia 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16.03.2023roku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eastAsia="Times New Roman" w:cs="Times New Roman"/>
          <w:b/>
          <w:b/>
          <w:bCs/>
          <w:color w:val="FF0000"/>
          <w:kern w:val="0"/>
          <w:sz w:val="28"/>
          <w:szCs w:val="28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FF0000"/>
          <w:kern w:val="0"/>
          <w:sz w:val="28"/>
          <w:szCs w:val="28"/>
          <w:lang w:val="pl-PL" w:eastAsia="pl-PL" w:bidi="ar-SA"/>
        </w:rPr>
        <w:t>taneczneinspiracje@mdk.lbl.pl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   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rganizator potwierdzi przyjęcie zgłoszenia.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Uczestnicy zobowiązani są do uiszczenia kosztów akredytacji w wysokości 30 zł</w:t>
        <w:br/>
        <w:t>od członka zespołu.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  <w:t xml:space="preserve">    Pieniądze należy wpłacić na konto Stowarzyszenia „Trampolina Sukcesu”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pl-PL"/>
        </w:rPr>
        <w:t xml:space="preserve">    </w:t>
      </w:r>
      <w:r>
        <w:rPr>
          <w:rFonts w:ascii="Times New Roman" w:hAnsi="Times New Roman"/>
          <w:sz w:val="28"/>
          <w:szCs w:val="28"/>
          <w:lang w:eastAsia="pl-PL"/>
        </w:rPr>
        <w:t xml:space="preserve">PKO BP 80 1020 5385 0000 9002 0119 4281   </w:t>
      </w:r>
      <w:r>
        <w:rPr>
          <w:rFonts w:ascii="Times New Roman" w:hAnsi="Times New Roman"/>
          <w:sz w:val="24"/>
          <w:szCs w:val="24"/>
          <w:lang w:eastAsia="pl-PL"/>
        </w:rPr>
        <w:t>z dopiskiem „Taneczne Inspiracje”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>do dnia 24.03.2023r.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8"/>
          <w:szCs w:val="28"/>
          <w:u w:val="single"/>
          <w:lang w:eastAsia="pl-PL"/>
        </w:rPr>
        <w:t>OPŁATA STARTOWA NIE JEST ZWRACANA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Uczestnicy przyjeżdżają i ubezpieczają się na koszt własny lub instytucji delegującej.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4. Za wszystkie sprawy wychowawcze oraz bezpieczeństwo i ubezpieczenie od następstw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nieszczęśliwych wypadków podczas trwania festiwalu odpowiadają jednostki delegujące,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bądź sami uczestnicy.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5. Zespoły będą miały zabezpieczone garderoby na godzinę przed prezentacją.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6. Organizator zastrzega sobie prawo do zmian w regulaminie.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7. Uczestnictwo w Festiwalu jest równoznaczne z akceptowaniem regulaminu.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Spacing"/>
        <w:numPr>
          <w:ilvl w:val="0"/>
          <w:numId w:val="8"/>
        </w:numPr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DANYCH OSOBOWYCH</w:t>
      </w:r>
    </w:p>
    <w:p>
      <w:pPr>
        <w:pStyle w:val="NoSpacing"/>
        <w:numPr>
          <w:ilvl w:val="0"/>
          <w:numId w:val="0"/>
        </w:numPr>
        <w:spacing w:lineRule="auto" w:line="276"/>
        <w:ind w:left="180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numPr>
          <w:ilvl w:val="0"/>
          <w:numId w:val="4"/>
        </w:numPr>
        <w:tabs>
          <w:tab w:val="clear" w:pos="708"/>
        </w:tabs>
        <w:spacing w:lineRule="auto" w:line="276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zespołu do udziału w przeglądzie oznacza zgodę na przetwarzanie przez organizatora danych osobowych podanych w karcie zgłoszenia w celach niezbędnych do prawidłowego przeprowadzenia organizowanego wydarzenia zgodnie z ustawą</w:t>
        <w:br/>
        <w:t>o ochronie danych osobowych z dnia 29 sierpnia 1997 r. (Dz. U. nr 133, poz. 833 z późn. zm.). Osobie, której dane dotyczą przysługuje prawo do ich wglądu i poprawiania.</w:t>
      </w:r>
    </w:p>
    <w:p>
      <w:pPr>
        <w:pStyle w:val="NoSpacing"/>
        <w:numPr>
          <w:ilvl w:val="0"/>
          <w:numId w:val="4"/>
        </w:numPr>
        <w:tabs>
          <w:tab w:val="clear" w:pos="708"/>
        </w:tabs>
        <w:spacing w:lineRule="auto" w:line="276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wykorzystania danych: wizerunku, imienia</w:t>
        <w:br/>
        <w:t>i nazwiska, miejscowości, nazwy zespołu i instytucji delegującej w zakresie publicznej promocji przeglądu.</w:t>
      </w:r>
    </w:p>
    <w:p>
      <w:pPr>
        <w:pStyle w:val="NoSpacing"/>
        <w:numPr>
          <w:ilvl w:val="0"/>
          <w:numId w:val="4"/>
        </w:numPr>
        <w:tabs>
          <w:tab w:val="clear" w:pos="708"/>
        </w:tabs>
        <w:spacing w:lineRule="auto" w:line="276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fotograficznej i audiowizualnej rejestracji prezentacji oraz publikacji zarejestrowanych multimediów w materiałach promocyjnych związanych z organizowanym przeglądem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3"/>
        </w:numPr>
        <w:tabs>
          <w:tab w:val="clear" w:pos="708"/>
        </w:tabs>
        <w:spacing w:lineRule="auto" w:line="276"/>
        <w:ind w:left="1803" w:right="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PRZETWARZANIE DANYCH OSOBOWYCH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informuje, iż administratorem danych osobowych uczestników Tanecznych Inspiracji jest Młodzieżowy Dom Kultury w Biłgoraju, z siedzibą przy ulicy „Wira” Bartoszewskiego 10, 23-400 Biłgoraj. 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– Prezesa Urzędu Ochrony Danych Osobowych. W celu realizacji tych uprawnień należy kontaktować się  z Inspektorem Danych Osobowych, Halina Wasil e-mail: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iod@bilgorajski.pl</w:t>
        </w:r>
      </w:hyperlink>
      <w:r>
        <w:rPr>
          <w:rFonts w:ascii="Times New Roman" w:hAnsi="Times New Roman"/>
          <w:sz w:val="24"/>
          <w:szCs w:val="24"/>
        </w:rPr>
        <w:t xml:space="preserve">  tel. 846882086. 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dobrowolne, lecz niezbędne do uczestnictwa w imprezie.</w:t>
        <w:br/>
        <w:t xml:space="preserve">W przypadku niepodania danych uczestnictwo w Tanecznych Inspiracjach będzie niemożliwe. 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mogą być przekazywane podmiotom trzecim współpracującym z Młodzieżowym Domem Kultury w Biłgoraju. W takim przypadku podmioty te będą przetwarzać dane</w:t>
        <w:br/>
        <w:t xml:space="preserve">w imieniu administratora na podstawie umów o powierzeniu danych. 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Udostępnione dane nie będą podlegały profilowaniu. </w:t>
      </w:r>
    </w:p>
    <w:p>
      <w:pPr>
        <w:pStyle w:val="Normal"/>
        <w:numPr>
          <w:ilvl w:val="1"/>
          <w:numId w:val="5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przez okres niezbędny do realizacji imprezy. </w:t>
      </w:r>
    </w:p>
    <w:p>
      <w:pPr>
        <w:pStyle w:val="Normal"/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397" w:righ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4"/>
        </w:numPr>
        <w:tabs>
          <w:tab w:val="clear" w:pos="708"/>
        </w:tabs>
        <w:spacing w:lineRule="auto" w:line="276" w:before="0" w:after="0"/>
        <w:ind w:left="1803" w:right="0" w:hanging="72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WARUNKI TECHNICZNE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Wymiary sceny: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pl-PL"/>
        </w:rPr>
        <w:t>szerokość – 10 m.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głębokość – 10 m.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 Uczestnicy przygotowują płytę CD audio lub nośnik elektroniczny z nagraniem podkładu</w:t>
        <w:br/>
        <w:t xml:space="preserve">     muzycznego.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>Nośniki muszą być opisane / nazwa zespołu, tytuł prezentacji i numer utworu/.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>Nagrania należy dostarczyć obsłudze akustycznej w dniu prezentacji.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Organizator gwarantuje profesjonalne nagłośnienie.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OCENA I NAGRODY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1. Zespoły oceniać będzie profesjonalne trzyosobowe jury.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2. Dla instruktorów i nauczycieli prowadzących umożliwione będą konsultacje z jury  </w:t>
        <w:br/>
        <w:t xml:space="preserve">     konkursu.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3. Jury w swojej ocenie kierować się będzie następującymi kryteriami: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pl-PL"/>
        </w:rPr>
        <w:t>Opracowanie choreograficzne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pl-PL"/>
        </w:rPr>
        <w:t>Poziom prezentacji/technika tańca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pl-PL"/>
        </w:rPr>
        <w:t>Dobór repertuaru, podkładu muzycznego i kostiumów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pl-PL"/>
        </w:rPr>
        <w:t>Oryginalność pomysłów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Walory wizualne i artystyczne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Od decyzji jury nie przysługuje odwołanie.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Wyniki Festiwalu jury poda do wiadomości publicznej po skończonym bloku pierwszym (najmłodsza kategoria)i po zakończeniu pozostałych prezentacji w starszych kategoriach tanecznych,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W najmłodszej kategorii wiekowej każdy zespól zostaje nagrodzony, zostanie również przyznane specjalne wyróżnienie za wyjątkową prezentację w dwu kategoriach tanecznych.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W średniej i najstarszej kategorii każdy zespół otrzyma podziękowanie, a laureaci dyplomy</w:t>
        <w:br/>
        <w:t>i nagrody finansowe.</w:t>
      </w:r>
    </w:p>
    <w:p>
      <w:pPr>
        <w:pStyle w:val="Normal"/>
        <w:tabs>
          <w:tab w:val="clear" w:pos="708"/>
          <w:tab w:val="left" w:pos="7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Przyznana będzie również przez dziecięce jury nagroda publiczności</w:t>
        <w:br/>
        <w:t>dla najsympatyczniejszego zespołu festiwalu.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Każdy uczestnik Konfrontacji ma obowiązek przestrzegania zaleceń organizatora dotyczących przepisów przeciw pożarowych i bhp.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rezygnacji z udziału w konfrontacjach organizator nie zwraca opłaty </w:t>
        <w:br/>
        <w:t>akredytacyjnej.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Organizator nie odpowiada za rzeczy pozostawione w garderobach i na terenie hali sportowej OSiR w Biłgoraju.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</w:rPr>
        <w:t>Przesłanie karty zgłoszenia jest jednoznaczne z akceptacją niniejszego regulaminu oraz wyrażeniem zgody na przetwarzanie danych osobowych oraz na upublicznienie wizerunku, imienia i nazwiska uczestnika w mediach społecznościowych, dla potrzeb niezbędnych do przeprowadzenia konkursu tanecznego "Taneczne Inspiracje" Biłgoraj 2023 – zgodnie z Rozporządzeniem Parlamentu Europejskiego i Rady (UE) 2016/679</w:t>
        <w:br/>
        <w:t xml:space="preserve">z dnia 27 kwietnia 2016 r. oraz ustawą z dnia 10 maja 2018 roku o ochronie danych osobowych  (Dz. U. 2018 poz. 1000 z późn. zm.) 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</w:rPr>
        <w:t>Organizator zastrzega sobie prawo do przedłużenia, skrócenia lub zmian Regulaminu, jeśli pojawią się ważne i niezależne od Organizatora okoliczności. Informacje</w:t>
        <w:br/>
        <w:t xml:space="preserve">o ewentualnych zmianach będą niezwłocznie umieszczone na stronie Młodzieżowego Domu Kultury  w Biłgoraju i Stowarzyszenia „Trampolina Sukcesu”. </w:t>
      </w:r>
    </w:p>
    <w:p>
      <w:pPr>
        <w:pStyle w:val="Normal"/>
        <w:numPr>
          <w:ilvl w:val="0"/>
          <w:numId w:val="6"/>
        </w:numPr>
        <w:tabs>
          <w:tab w:val="clear" w:pos="708"/>
        </w:tabs>
        <w:spacing w:lineRule="auto" w:line="240" w:before="0" w:after="0"/>
        <w:ind w:left="397" w:right="0" w:hanging="363"/>
        <w:jc w:val="both"/>
        <w:rPr/>
      </w:pPr>
      <w:r>
        <w:rPr>
          <w:rFonts w:ascii="Times New Roman" w:hAnsi="Times New Roman"/>
          <w:sz w:val="24"/>
          <w:szCs w:val="24"/>
        </w:rPr>
        <w:t>Wszelkie kwestie nie ujęte w regulaminie rozstrzygają organizatorzy wraz</w:t>
        <w:br/>
        <w:t xml:space="preserve">z przewodniczącym jury. </w:t>
      </w:r>
    </w:p>
    <w:p>
      <w:pPr>
        <w:pStyle w:val="Normal"/>
        <w:spacing w:lineRule="auto" w:line="240" w:before="280" w:after="28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SERDECZNIE ZAPRASZAMY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Szczegółowych informacji na temat Festiwalu udziela 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Buczek               -   tel. 608 504 208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Iwona Pawlos               -   tel. 880 273 783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miejscu również barek serwujący ciepłe posiłki ( pizza, obiady, itp.) Tel.501 144 787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Dysponujemy również bazą innych restauracji i barów, które dowożą ciepłe posiłki.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razie potrzeby możemy również polecić miejsca noclegowe dla grup.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br w:type="column"/>
      </w:r>
      <w:r>
        <w:rPr>
          <w:sz w:val="24"/>
          <w:szCs w:val="24"/>
        </w:rPr>
        <w:t>KARTA UCZESTNICTWA</w:t>
      </w:r>
    </w:p>
    <w:p>
      <w:pPr>
        <w:pStyle w:val="Normal"/>
        <w:rPr/>
      </w:pPr>
      <w:r>
        <w:rPr/>
        <w:t xml:space="preserve">1. Nazwa zespołu  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2. Ilość osób: .............................................................................................................................. </w:t>
      </w:r>
    </w:p>
    <w:p>
      <w:pPr>
        <w:pStyle w:val="Normal"/>
        <w:rPr>
          <w:rFonts w:cs="Calibri"/>
        </w:rPr>
      </w:pPr>
      <w:r>
        <w:rPr/>
        <w:t xml:space="preserve">3. Instytucja patronacka (nazwa, adres, telefon): ...................................................................... </w:t>
      </w:r>
    </w:p>
    <w:p>
      <w:pPr>
        <w:pStyle w:val="Normal"/>
        <w:rPr>
          <w:rFonts w:cs="Calibri"/>
        </w:rPr>
      </w:pPr>
      <w:r>
        <w:rPr/>
        <w:t>..................................................................................................................................................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</w:rPr>
      </w:pPr>
      <w:r>
        <w:rPr/>
        <w:t>4. Adres do korespondencji / telefon: ........................................................................................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rPr>
          <w:rFonts w:cs="Calibri"/>
        </w:rPr>
      </w:pPr>
      <w:r>
        <w:rPr/>
        <w:t xml:space="preserve">5. Opiekun (imię, nazwisko, adres, telefon): ..............................................................................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6. Kategorie: </w:t>
      </w:r>
    </w:p>
    <w:p>
      <w:pPr>
        <w:pStyle w:val="Normal"/>
        <w:rPr/>
      </w:pPr>
      <w:r>
        <w:rPr/>
        <w:t xml:space="preserve">Kategoria wiekowa  :…………..                            </w:t>
      </w:r>
    </w:p>
    <w:p>
      <w:pPr>
        <w:pStyle w:val="Normal"/>
        <w:rPr/>
      </w:pPr>
      <w:r>
        <w:rPr/>
        <w:t>Liczba uczestników :……………….</w:t>
      </w:r>
    </w:p>
    <w:p>
      <w:pPr>
        <w:pStyle w:val="Normal"/>
        <w:rPr/>
      </w:pPr>
      <w:r>
        <w:rPr/>
        <w:t>Taniec współczesny :   ……………..</w:t>
      </w:r>
    </w:p>
    <w:p>
      <w:pPr>
        <w:pStyle w:val="Normal"/>
        <w:rPr/>
      </w:pPr>
      <w:r>
        <w:rPr/>
        <w:t>Taniec nowoczesny :  …………………………….</w:t>
      </w:r>
    </w:p>
    <w:p>
      <w:pPr>
        <w:pStyle w:val="Normal"/>
        <w:rPr>
          <w:rFonts w:cs="Calibri"/>
        </w:rPr>
      </w:pPr>
      <w:r>
        <w:rPr/>
        <w:t xml:space="preserve">7. Charakterystyka zespołu (data, powstanie, osiągnięcia, itp.) – informacja dla konferansjera: </w:t>
      </w:r>
    </w:p>
    <w:p>
      <w:pPr>
        <w:pStyle w:val="Normal"/>
        <w:rPr>
          <w:rFonts w:cs="Calibri"/>
        </w:rPr>
      </w:pPr>
      <w:r>
        <w:rPr/>
        <w:t xml:space="preserve">..................................................................................................................................................... </w:t>
      </w:r>
    </w:p>
    <w:p>
      <w:pPr>
        <w:pStyle w:val="Normal"/>
        <w:rPr>
          <w:rFonts w:cs="Calibri"/>
        </w:rPr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8. Tytuł prezentacji i czas występu zespołu ................ ……………………………………………….......……. </w:t>
      </w:r>
    </w:p>
    <w:p>
      <w:pPr>
        <w:pStyle w:val="Normal"/>
        <w:rPr/>
      </w:pPr>
      <w:r>
        <w:rPr/>
        <w:t>9. Wymagania techniczne: 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10. Faktura  tak/nie (niepotrzebne skreśl)</w:t>
      </w:r>
    </w:p>
    <w:p>
      <w:pPr>
        <w:pStyle w:val="Normal"/>
        <w:rPr/>
      </w:pPr>
      <w:r>
        <w:rPr/>
        <w:t>Dane do faktury</w:t>
      </w:r>
    </w:p>
    <w:p>
      <w:pPr>
        <w:pStyle w:val="Normal"/>
        <w:rPr/>
      </w:pPr>
      <w:r>
        <w:rPr/>
        <w:t>Instytucja/osoba………………………………………………………………………………………………</w:t>
      </w:r>
    </w:p>
    <w:p>
      <w:pPr>
        <w:pStyle w:val="Normal"/>
        <w:rPr/>
      </w:pPr>
      <w:r>
        <w:rPr/>
        <w:t>Adres……………………………………………………………………………………………………………………</w:t>
      </w:r>
    </w:p>
    <w:p>
      <w:pPr>
        <w:pStyle w:val="Normal"/>
        <w:rPr>
          <w:rFonts w:cs="Calibri"/>
        </w:rPr>
      </w:pPr>
      <w:r>
        <w:rPr/>
        <w:t>NIP……………………………………………………………</w:t>
      </w:r>
    </w:p>
    <w:p>
      <w:pPr>
        <w:pStyle w:val="Western"/>
        <w:spacing w:lineRule="auto" w:line="276" w:before="280" w:after="198"/>
        <w:jc w:val="right"/>
        <w:rPr/>
      </w:pPr>
      <w:r>
        <w:rPr/>
      </w:r>
    </w:p>
    <w:p>
      <w:pPr>
        <w:pStyle w:val="Western"/>
        <w:spacing w:lineRule="auto" w:line="276" w:before="280" w:after="198"/>
        <w:rPr/>
      </w:pPr>
      <w:r>
        <w:rPr/>
        <w:br/>
        <w:t>Data……………………………………….                                                              ………..…………...……………………………….</w:t>
        <w:br/>
        <w:tab/>
        <w:tab/>
        <w:tab/>
        <w:tab/>
        <w:tab/>
        <w:tab/>
        <w:tab/>
        <w:tab/>
        <w:t xml:space="preserve">    /Nazwisko osoby odpowiedzialnej/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8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31"/>
      <w:numFmt w:val="decimal"/>
      <w:lvlText w:val="%1"/>
      <w:lvlJc w:val="left"/>
      <w:pPr>
        <w:tabs>
          <w:tab w:val="num" w:pos="0"/>
        </w:tabs>
        <w:ind w:left="1080" w:hanging="1080"/>
      </w:p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1080" w:hanging="1080"/>
      </w:pPr>
    </w:lvl>
    <w:lvl w:ilvl="2">
      <w:start w:val="2023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11">
    <w:lvl w:ilvl="0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2">
    <w:lvl w:ilvl="0">
      <w:start w:val="4"/>
      <w:numFmt w:val="decimal"/>
      <w:lvlText w:val="%1."/>
      <w:lvlJc w:val="left"/>
      <w:pPr>
        <w:tabs>
          <w:tab w:val="num" w:pos="1153"/>
        </w:tabs>
        <w:ind w:left="1153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73"/>
        </w:tabs>
        <w:ind w:left="1873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233"/>
        </w:tabs>
        <w:ind w:left="2233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93"/>
        </w:tabs>
        <w:ind w:left="2593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53"/>
        </w:tabs>
        <w:ind w:left="2953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313"/>
        </w:tabs>
        <w:ind w:left="3313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73"/>
        </w:tabs>
        <w:ind w:left="3673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033"/>
        </w:tabs>
        <w:ind w:left="4033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6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7"/>
      <w:numFmt w:val="upperRoman"/>
      <w:lvlText w:val="%2."/>
      <w:lvlJc w:val="left"/>
      <w:pPr>
        <w:tabs>
          <w:tab w:val="num" w:pos="1443"/>
        </w:tabs>
        <w:ind w:left="1443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883"/>
        </w:tabs>
        <w:ind w:left="2883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43"/>
        </w:tabs>
        <w:ind w:left="3243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03"/>
        </w:tabs>
        <w:ind w:left="3603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63"/>
        </w:tabs>
        <w:ind w:left="3963" w:hanging="360"/>
      </w:pPr>
      <w:rPr>
        <w:sz w:val="24"/>
        <w:b/>
        <w:szCs w:val="24"/>
        <w:bCs/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69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Nagwek3">
    <w:name w:val="Heading 3"/>
    <w:basedOn w:val="Normal"/>
    <w:next w:val="Normal"/>
    <w:link w:val="Nagwek3Znak1"/>
    <w:uiPriority w:val="99"/>
    <w:qFormat/>
    <w:rsid w:val="00bc69c6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1" w:customStyle="1">
    <w:name w:val="Nagłówek 3 Znak1"/>
    <w:link w:val="Nagwek3"/>
    <w:uiPriority w:val="99"/>
    <w:qFormat/>
    <w:rsid w:val="00251d12"/>
    <w:rPr>
      <w:rFonts w:ascii="Calibri" w:hAnsi="Calibri"/>
      <w:b/>
      <w:bCs/>
      <w:sz w:val="24"/>
      <w:szCs w:val="24"/>
      <w:lang w:eastAsia="zh-CN"/>
    </w:rPr>
  </w:style>
  <w:style w:type="character" w:styleId="WW8Num1z0" w:customStyle="1">
    <w:name w:val="WW8Num1z0"/>
    <w:uiPriority w:val="99"/>
    <w:qFormat/>
    <w:rsid w:val="00bc69c6"/>
    <w:rPr>
      <w:rFonts w:ascii="Symbol" w:hAnsi="Symbol"/>
      <w:sz w:val="24"/>
      <w:lang w:eastAsia="pl-PL"/>
    </w:rPr>
  </w:style>
  <w:style w:type="character" w:styleId="WW8Num2z0" w:customStyle="1">
    <w:name w:val="WW8Num2z0"/>
    <w:uiPriority w:val="99"/>
    <w:qFormat/>
    <w:rsid w:val="00bc69c6"/>
    <w:rPr>
      <w:rFonts w:ascii="Symbol" w:hAnsi="Symbol"/>
    </w:rPr>
  </w:style>
  <w:style w:type="character" w:styleId="WW8Num3z0" w:customStyle="1">
    <w:name w:val="WW8Num3z0"/>
    <w:uiPriority w:val="99"/>
    <w:qFormat/>
    <w:rsid w:val="00bc69c6"/>
    <w:rPr>
      <w:rFonts w:ascii="Times New Roman" w:hAnsi="Times New Roman"/>
      <w:b/>
      <w:sz w:val="26"/>
    </w:rPr>
  </w:style>
  <w:style w:type="character" w:styleId="WW8Num4z0" w:customStyle="1">
    <w:name w:val="WW8Num4z0"/>
    <w:uiPriority w:val="99"/>
    <w:qFormat/>
    <w:rsid w:val="00bc69c6"/>
    <w:rPr>
      <w:rFonts w:ascii="Times New Roman" w:hAnsi="Times New Roman"/>
      <w:b/>
      <w:sz w:val="26"/>
    </w:rPr>
  </w:style>
  <w:style w:type="character" w:styleId="WW8Num1z1" w:customStyle="1">
    <w:name w:val="WW8Num1z1"/>
    <w:uiPriority w:val="99"/>
    <w:qFormat/>
    <w:rsid w:val="00bc69c6"/>
    <w:rPr>
      <w:rFonts w:ascii="Courier New" w:hAnsi="Courier New"/>
    </w:rPr>
  </w:style>
  <w:style w:type="character" w:styleId="WW8Num1z2" w:customStyle="1">
    <w:name w:val="WW8Num1z2"/>
    <w:uiPriority w:val="99"/>
    <w:qFormat/>
    <w:rsid w:val="00bc69c6"/>
    <w:rPr>
      <w:rFonts w:ascii="Wingdings" w:hAnsi="Wingdings"/>
    </w:rPr>
  </w:style>
  <w:style w:type="character" w:styleId="WW8Num2z1" w:customStyle="1">
    <w:name w:val="WW8Num2z1"/>
    <w:uiPriority w:val="99"/>
    <w:qFormat/>
    <w:rsid w:val="00bc69c6"/>
    <w:rPr>
      <w:rFonts w:ascii="Courier New" w:hAnsi="Courier New"/>
    </w:rPr>
  </w:style>
  <w:style w:type="character" w:styleId="WW8Num2z2" w:customStyle="1">
    <w:name w:val="WW8Num2z2"/>
    <w:uiPriority w:val="99"/>
    <w:qFormat/>
    <w:rsid w:val="00bc69c6"/>
    <w:rPr>
      <w:rFonts w:ascii="Wingdings" w:hAnsi="Wingdings"/>
    </w:rPr>
  </w:style>
  <w:style w:type="character" w:styleId="WW8Num3z1" w:customStyle="1">
    <w:name w:val="WW8Num3z1"/>
    <w:uiPriority w:val="99"/>
    <w:qFormat/>
    <w:rsid w:val="00bc69c6"/>
    <w:rPr/>
  </w:style>
  <w:style w:type="character" w:styleId="WW8Num3z2" w:customStyle="1">
    <w:name w:val="WW8Num3z2"/>
    <w:uiPriority w:val="99"/>
    <w:qFormat/>
    <w:rsid w:val="00bc69c6"/>
    <w:rPr/>
  </w:style>
  <w:style w:type="character" w:styleId="WW8Num3z3" w:customStyle="1">
    <w:name w:val="WW8Num3z3"/>
    <w:uiPriority w:val="99"/>
    <w:qFormat/>
    <w:rsid w:val="00bc69c6"/>
    <w:rPr/>
  </w:style>
  <w:style w:type="character" w:styleId="WW8Num3z4" w:customStyle="1">
    <w:name w:val="WW8Num3z4"/>
    <w:uiPriority w:val="99"/>
    <w:qFormat/>
    <w:rsid w:val="00bc69c6"/>
    <w:rPr/>
  </w:style>
  <w:style w:type="character" w:styleId="WW8Num3z5" w:customStyle="1">
    <w:name w:val="WW8Num3z5"/>
    <w:uiPriority w:val="99"/>
    <w:qFormat/>
    <w:rsid w:val="00bc69c6"/>
    <w:rPr/>
  </w:style>
  <w:style w:type="character" w:styleId="WW8Num3z6" w:customStyle="1">
    <w:name w:val="WW8Num3z6"/>
    <w:uiPriority w:val="99"/>
    <w:qFormat/>
    <w:rsid w:val="00bc69c6"/>
    <w:rPr/>
  </w:style>
  <w:style w:type="character" w:styleId="WW8Num3z7" w:customStyle="1">
    <w:name w:val="WW8Num3z7"/>
    <w:uiPriority w:val="99"/>
    <w:qFormat/>
    <w:rsid w:val="00bc69c6"/>
    <w:rPr/>
  </w:style>
  <w:style w:type="character" w:styleId="WW8Num3z8" w:customStyle="1">
    <w:name w:val="WW8Num3z8"/>
    <w:uiPriority w:val="99"/>
    <w:qFormat/>
    <w:rsid w:val="00bc69c6"/>
    <w:rPr/>
  </w:style>
  <w:style w:type="character" w:styleId="Domylnaczcionkaakapitu1" w:customStyle="1">
    <w:name w:val="Domyślna czcionka akapitu1"/>
    <w:uiPriority w:val="99"/>
    <w:qFormat/>
    <w:rsid w:val="00bc69c6"/>
    <w:rPr/>
  </w:style>
  <w:style w:type="character" w:styleId="Nagwek3Znak" w:customStyle="1">
    <w:name w:val="Nagłówek 3 Znak"/>
    <w:uiPriority w:val="99"/>
    <w:qFormat/>
    <w:rsid w:val="00bc69c6"/>
    <w:rPr>
      <w:rFonts w:ascii="Times New Roman" w:hAnsi="Times New Roman"/>
      <w:b/>
      <w:sz w:val="24"/>
    </w:rPr>
  </w:style>
  <w:style w:type="character" w:styleId="TekstdymkaZnak" w:customStyle="1">
    <w:name w:val="Tekst dymka Znak"/>
    <w:uiPriority w:val="99"/>
    <w:qFormat/>
    <w:rsid w:val="00bc69c6"/>
    <w:rPr>
      <w:rFonts w:ascii="Segoe UI" w:hAnsi="Segoe UI"/>
      <w:sz w:val="18"/>
    </w:rPr>
  </w:style>
  <w:style w:type="character" w:styleId="Czeinternetowe">
    <w:name w:val="Łącze internetowe"/>
    <w:uiPriority w:val="99"/>
    <w:rsid w:val="00bc69c6"/>
    <w:rPr>
      <w:rFonts w:cs="Times New Roman"/>
      <w:color w:val="000080"/>
      <w:u w:val="single"/>
    </w:rPr>
  </w:style>
  <w:style w:type="character" w:styleId="Znakinumeracji" w:customStyle="1">
    <w:name w:val="Znaki numeracji"/>
    <w:uiPriority w:val="99"/>
    <w:qFormat/>
    <w:rsid w:val="00bc69c6"/>
    <w:rPr>
      <w:rFonts w:ascii="Times New Roman" w:hAnsi="Times New Roman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uiPriority w:val="99"/>
    <w:semiHidden/>
    <w:qFormat/>
    <w:rsid w:val="00251d12"/>
    <w:rPr>
      <w:rFonts w:ascii="Calibri" w:hAnsi="Calibri" w:cs="Times New Roman"/>
      <w:lang w:eastAsia="zh-CN"/>
    </w:rPr>
  </w:style>
  <w:style w:type="character" w:styleId="TekstdymkaZnak1" w:customStyle="1">
    <w:name w:val="Tekst dymka Znak1"/>
    <w:link w:val="Tekstdymka"/>
    <w:uiPriority w:val="99"/>
    <w:semiHidden/>
    <w:qFormat/>
    <w:rsid w:val="00251d12"/>
    <w:rPr>
      <w:rFonts w:cs="Times New Roman"/>
      <w:sz w:val="2"/>
      <w:lang w:eastAsia="zh-CN"/>
    </w:rPr>
  </w:style>
  <w:style w:type="character" w:styleId="Znakiwypunktowania">
    <w:name w:val="Znaki wypunktowania"/>
    <w:qFormat/>
    <w:rPr>
      <w:rFonts w:ascii="OpenSymbol" w:hAnsi="OpenSymbol" w:eastAsia="OpenSymbol" w:cs="OpenSymbol"/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bc69c6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bc69c6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c69c6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uiPriority w:val="99"/>
    <w:qFormat/>
    <w:rsid w:val="00bc69c6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uiPriority w:val="99"/>
    <w:qFormat/>
    <w:rsid w:val="00bc6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1"/>
    <w:uiPriority w:val="99"/>
    <w:semiHidden/>
    <w:qFormat/>
    <w:rsid w:val="00bc69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uiPriority w:val="99"/>
    <w:qFormat/>
    <w:rsid w:val="00bc69c6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c69c6"/>
    <w:pPr>
      <w:jc w:val="center"/>
    </w:pPr>
    <w:rPr>
      <w:b/>
      <w:bCs/>
    </w:rPr>
  </w:style>
  <w:style w:type="paragraph" w:styleId="Western" w:customStyle="1">
    <w:name w:val="western"/>
    <w:basedOn w:val="Normal"/>
    <w:uiPriority w:val="99"/>
    <w:qFormat/>
    <w:rsid w:val="00cc52b5"/>
    <w:pPr>
      <w:suppressAutoHyphens w:val="false"/>
      <w:spacing w:lineRule="auto" w:line="288" w:beforeAutospacing="1" w:after="142"/>
    </w:pPr>
    <w:rPr>
      <w:color w:val="000000"/>
      <w:lang w:eastAsia="pl-PL"/>
    </w:rPr>
  </w:style>
  <w:style w:type="paragraph" w:styleId="NoSpacing">
    <w:name w:val="No Spacing"/>
    <w:uiPriority w:val="1"/>
    <w:qFormat/>
    <w:rsid w:val="00ae342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ilgoraj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LibreOffice/7.1.2.2$Windows_X86_64 LibreOffice_project/8a45595d069ef5570103caea1b71cc9d82b2aae4</Application>
  <AppVersion>15.0000</AppVersion>
  <DocSecurity>0</DocSecurity>
  <Pages>6</Pages>
  <Words>1149</Words>
  <Characters>8940</Characters>
  <CharactersWithSpaces>10186</CharactersWithSpaces>
  <Paragraphs>135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2018-02-27T14:55:00Z</dcterms:created>
  <dc:creator>maciek</dc:creator>
  <dc:description/>
  <dc:language>pl-PL</dc:language>
  <cp:lastModifiedBy/>
  <cp:lastPrinted>2017-02-17T11:43:00Z</cp:lastPrinted>
  <dcterms:modified xsi:type="dcterms:W3CDTF">2023-01-28T23:34:21Z</dcterms:modified>
  <cp:revision>43</cp:revision>
  <dc:subject/>
  <dc:title>Regulamin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